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BC" w:rsidRPr="00C4662B" w:rsidRDefault="005B241A" w:rsidP="000505BC">
      <w:pPr>
        <w:autoSpaceDE w:val="0"/>
        <w:autoSpaceDN w:val="0"/>
        <w:adjustRightInd w:val="0"/>
        <w:spacing w:after="0" w:line="240" w:lineRule="auto"/>
        <w:rPr>
          <w:rFonts w:ascii="Titillium-BoldUpright" w:hAnsi="Titillium-BoldUpright" w:cs="Titillium-BoldUpright"/>
          <w:b/>
          <w:bCs/>
          <w:i/>
          <w:iCs/>
          <w:sz w:val="30"/>
          <w:szCs w:val="30"/>
          <w:lang w:bidi="ar-SA"/>
        </w:rPr>
      </w:pPr>
      <w:r>
        <w:rPr>
          <w:rFonts w:ascii="Titillium-BoldUpright" w:hAnsi="Titillium-BoldUpright" w:cs="Titillium-BoldUpright"/>
          <w:b/>
          <w:bCs/>
          <w:i/>
          <w:iCs/>
          <w:sz w:val="30"/>
          <w:szCs w:val="30"/>
          <w:lang w:bidi="ar-SA"/>
        </w:rPr>
        <w:t>EKC</w:t>
      </w:r>
      <w:r w:rsidR="000B69D4" w:rsidRPr="00C4662B">
        <w:rPr>
          <w:rFonts w:ascii="Titillium-BoldUpright" w:hAnsi="Titillium-BoldUpright" w:cs="Titillium-BoldUpright"/>
          <w:b/>
          <w:bCs/>
          <w:i/>
          <w:iCs/>
          <w:sz w:val="30"/>
          <w:szCs w:val="30"/>
          <w:lang w:bidi="ar-SA"/>
        </w:rPr>
        <w:t>-Ortaklık Beyannamesi</w:t>
      </w:r>
    </w:p>
    <w:p w:rsidR="000B69D4" w:rsidRDefault="000B69D4" w:rsidP="000505BC">
      <w:pPr>
        <w:autoSpaceDE w:val="0"/>
        <w:autoSpaceDN w:val="0"/>
        <w:adjustRightInd w:val="0"/>
        <w:spacing w:after="0" w:line="240" w:lineRule="auto"/>
        <w:rPr>
          <w:rFonts w:ascii="Titillium-BoldUpright" w:hAnsi="Titillium-BoldUpright" w:cs="Titillium-BoldUpright"/>
          <w:b/>
          <w:bCs/>
          <w:i/>
          <w:iCs/>
          <w:color w:val="F78C2F"/>
          <w:sz w:val="30"/>
          <w:szCs w:val="30"/>
          <w:lang w:bidi="ar-SA"/>
        </w:rPr>
      </w:pPr>
    </w:p>
    <w:p w:rsidR="000505BC" w:rsidRDefault="000505BC" w:rsidP="000B69D4">
      <w:pPr>
        <w:autoSpaceDE w:val="0"/>
        <w:autoSpaceDN w:val="0"/>
        <w:adjustRightInd w:val="0"/>
        <w:spacing w:after="0" w:line="240" w:lineRule="auto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Bu bölüm, </w:t>
      </w:r>
      <w:r>
        <w:rPr>
          <w:rFonts w:ascii="DINBekBold" w:hAnsi="DINBekBold" w:cs="DINBekBold"/>
          <w:b/>
          <w:bCs/>
          <w:color w:val="000000"/>
          <w:sz w:val="20"/>
          <w:szCs w:val="20"/>
          <w:lang w:bidi="ar-SA"/>
        </w:rPr>
        <w:t xml:space="preserve">her ortak kuruluş için 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>doldurulacaktır.</w:t>
      </w:r>
      <w:r w:rsidR="000B69D4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>Ortaklarınızın sayısına göre bu tabloyu gereken sayıda çoğaltarak kullanınız.</w:t>
      </w:r>
    </w:p>
    <w:p w:rsidR="00D872C9" w:rsidRDefault="00D872C9" w:rsidP="000B69D4">
      <w:pPr>
        <w:autoSpaceDE w:val="0"/>
        <w:autoSpaceDN w:val="0"/>
        <w:adjustRightInd w:val="0"/>
        <w:spacing w:after="0" w:line="240" w:lineRule="auto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0505BC" w:rsidRPr="00C4662B" w:rsidRDefault="000505BC" w:rsidP="006F57B0">
      <w:pPr>
        <w:autoSpaceDE w:val="0"/>
        <w:autoSpaceDN w:val="0"/>
        <w:adjustRightInd w:val="0"/>
        <w:spacing w:after="0" w:line="240" w:lineRule="auto"/>
        <w:jc w:val="center"/>
        <w:rPr>
          <w:rFonts w:ascii="Titillium-BoldUpright" w:hAnsi="Titillium-BoldUpright" w:cs="Titillium-BoldUpright"/>
          <w:b/>
          <w:bCs/>
          <w:i/>
          <w:iCs/>
          <w:sz w:val="24"/>
          <w:szCs w:val="24"/>
          <w:lang w:bidi="ar-SA"/>
        </w:rPr>
      </w:pPr>
      <w:r w:rsidRPr="00C4662B">
        <w:rPr>
          <w:rFonts w:ascii="Titillium-BoldUpright" w:hAnsi="Titillium-BoldUpright" w:cs="Titillium-BoldUpright"/>
          <w:b/>
          <w:bCs/>
          <w:i/>
          <w:iCs/>
          <w:sz w:val="24"/>
          <w:szCs w:val="24"/>
          <w:lang w:bidi="ar-SA"/>
        </w:rPr>
        <w:t>Başvuru Sahibinin</w:t>
      </w:r>
      <w:r w:rsidR="000B69D4" w:rsidRPr="00C4662B">
        <w:rPr>
          <w:rFonts w:ascii="Titillium-BoldUpright" w:hAnsi="Titillium-BoldUpright" w:cs="Titillium-BoldUpright"/>
          <w:b/>
          <w:bCs/>
          <w:i/>
          <w:iCs/>
          <w:sz w:val="24"/>
          <w:szCs w:val="24"/>
          <w:lang w:bidi="ar-SA"/>
        </w:rPr>
        <w:t xml:space="preserve"> </w:t>
      </w:r>
      <w:r w:rsidRPr="00C4662B">
        <w:rPr>
          <w:rFonts w:ascii="Titillium-BoldUpright" w:hAnsi="Titillium-BoldUpright" w:cs="Titillium-BoldUpright"/>
          <w:b/>
          <w:bCs/>
          <w:i/>
          <w:iCs/>
          <w:sz w:val="24"/>
          <w:szCs w:val="24"/>
          <w:lang w:bidi="ar-SA"/>
        </w:rPr>
        <w:t>Projeye Katılan Ortakları</w:t>
      </w:r>
      <w:r w:rsidR="00C4662B" w:rsidRPr="00C4662B">
        <w:rPr>
          <w:rFonts w:ascii="Titillium-BoldUpright" w:hAnsi="Titillium-BoldUpright" w:cs="Titillium-BoldUpright"/>
          <w:b/>
          <w:bCs/>
          <w:i/>
          <w:iCs/>
          <w:sz w:val="24"/>
          <w:szCs w:val="24"/>
          <w:lang w:bidi="ar-SA"/>
        </w:rPr>
        <w:t xml:space="preserve"> </w:t>
      </w:r>
      <w:r w:rsidRPr="00C4662B">
        <w:rPr>
          <w:rFonts w:ascii="Titillium-BoldUpright" w:hAnsi="Titillium-BoldUpright" w:cs="Titillium-BoldUpright"/>
          <w:b/>
          <w:bCs/>
          <w:i/>
          <w:iCs/>
          <w:sz w:val="24"/>
          <w:szCs w:val="24"/>
          <w:lang w:bidi="ar-SA"/>
        </w:rPr>
        <w:t>Ortaklarla İlgili Bilgiler</w:t>
      </w:r>
    </w:p>
    <w:p w:rsidR="000505BC" w:rsidRDefault="000505BC" w:rsidP="000505BC">
      <w:pPr>
        <w:autoSpaceDE w:val="0"/>
        <w:autoSpaceDN w:val="0"/>
        <w:adjustRightInd w:val="0"/>
        <w:spacing w:after="0" w:line="240" w:lineRule="auto"/>
        <w:rPr>
          <w:rFonts w:ascii="Titillium-BoldUpright" w:hAnsi="Titillium-BoldUpright" w:cs="Titillium-BoldUpright"/>
          <w:b/>
          <w:bCs/>
          <w:i/>
          <w:iCs/>
          <w:color w:val="FFFFFF"/>
          <w:sz w:val="18"/>
          <w:szCs w:val="18"/>
          <w:lang w:bidi="ar-SA"/>
        </w:rPr>
      </w:pPr>
      <w:r>
        <w:rPr>
          <w:rFonts w:ascii="Titillium-BoldUpright" w:hAnsi="Titillium-BoldUpright" w:cs="Titillium-BoldUpright"/>
          <w:b/>
          <w:bCs/>
          <w:i/>
          <w:iCs/>
          <w:color w:val="FFFFFF"/>
          <w:sz w:val="18"/>
          <w:szCs w:val="18"/>
          <w:lang w:bidi="ar-SA"/>
        </w:rPr>
        <w:t>TAM YASAL 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69D4" w:rsidTr="000B69D4">
        <w:tc>
          <w:tcPr>
            <w:tcW w:w="4606" w:type="dxa"/>
          </w:tcPr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0B69D4"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Tam</w:t>
            </w: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Yasal Adı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Yasal Statüsü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Resmi Adresi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 xml:space="preserve">(Aynı Zamanda Eurodesk Temas Noktası ise) </w:t>
            </w: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br/>
              <w:t>First Class Program Kodu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İrtibat Kişisi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Telefon Numarası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Faks Numarası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Cep Telefonu Numarası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E-posta adresi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Başvuru Sahibi ile İşbirliği Geçmişi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Teklif Edilen Projenin Hazırlanmasındaki Rolü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  <w:tr w:rsidR="000B69D4" w:rsidTr="000B69D4">
        <w:tc>
          <w:tcPr>
            <w:tcW w:w="4606" w:type="dxa"/>
          </w:tcPr>
          <w:p w:rsidR="000B69D4" w:rsidRDefault="000B69D4" w:rsidP="000B69D4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  <w:r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  <w:t>Teklif Edilen Projenin Uygulanmasındaki Rolü</w:t>
            </w:r>
          </w:p>
        </w:tc>
        <w:tc>
          <w:tcPr>
            <w:tcW w:w="4606" w:type="dxa"/>
          </w:tcPr>
          <w:p w:rsid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  <w:p w:rsidR="000B69D4" w:rsidRPr="000B69D4" w:rsidRDefault="000B69D4" w:rsidP="000505BC">
            <w:pPr>
              <w:autoSpaceDE w:val="0"/>
              <w:autoSpaceDN w:val="0"/>
              <w:adjustRightInd w:val="0"/>
              <w:rPr>
                <w:rFonts w:ascii="Titillium-BoldUpright" w:hAnsi="Titillium-BoldUpright" w:cs="Titillium-BoldUpright"/>
                <w:b/>
                <w:bCs/>
                <w:i/>
                <w:iCs/>
                <w:sz w:val="18"/>
                <w:szCs w:val="18"/>
                <w:lang w:bidi="ar-SA"/>
              </w:rPr>
            </w:pPr>
          </w:p>
        </w:tc>
      </w:tr>
    </w:tbl>
    <w:p w:rsidR="000505BC" w:rsidRDefault="000505BC" w:rsidP="000505BC">
      <w:pPr>
        <w:autoSpaceDE w:val="0"/>
        <w:autoSpaceDN w:val="0"/>
        <w:adjustRightInd w:val="0"/>
        <w:spacing w:after="0" w:line="240" w:lineRule="auto"/>
        <w:rPr>
          <w:rFonts w:ascii="Titillium-BoldUpright" w:hAnsi="Titillium-BoldUpright" w:cs="Titillium-BoldUpright"/>
          <w:b/>
          <w:bCs/>
          <w:i/>
          <w:iCs/>
          <w:color w:val="FFFFFF"/>
          <w:sz w:val="18"/>
          <w:szCs w:val="18"/>
          <w:lang w:bidi="ar-SA"/>
        </w:rPr>
      </w:pPr>
      <w:r>
        <w:rPr>
          <w:rFonts w:ascii="Titillium-BoldUpright" w:hAnsi="Titillium-BoldUpright" w:cs="Titillium-BoldUpright"/>
          <w:b/>
          <w:bCs/>
          <w:i/>
          <w:iCs/>
          <w:color w:val="FFFFFF"/>
          <w:sz w:val="18"/>
          <w:szCs w:val="18"/>
          <w:lang w:bidi="ar-SA"/>
        </w:rPr>
        <w:t>AZIRLANMASINDAKİ ROLÜ VE KATILIMI</w:t>
      </w:r>
    </w:p>
    <w:p w:rsidR="000505BC" w:rsidRDefault="000505BC" w:rsidP="00C4662B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>
        <w:rPr>
          <w:rFonts w:ascii="Titillium-BoldUpright" w:hAnsi="Titillium-BoldUpright" w:cs="Titillium-BoldUpright"/>
          <w:b/>
          <w:bCs/>
          <w:i/>
          <w:iCs/>
          <w:color w:val="000000"/>
          <w:sz w:val="20"/>
          <w:szCs w:val="20"/>
          <w:lang w:bidi="ar-SA"/>
        </w:rPr>
        <w:t xml:space="preserve">Önemli: 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>Ortaklık Beyannamesi, tüm ortaklarca ayrı ayrı</w:t>
      </w:r>
      <w:r w:rsidR="000B69D4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>
        <w:rPr>
          <w:rFonts w:ascii="DINBekBold" w:hAnsi="DINBekBold" w:cs="DINBekBold"/>
          <w:b/>
          <w:bCs/>
          <w:color w:val="000000"/>
          <w:sz w:val="20"/>
          <w:szCs w:val="20"/>
          <w:lang w:bidi="ar-SA"/>
        </w:rPr>
        <w:t xml:space="preserve">imzalanıp ve tarih atılmış 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olarak Başvuru Formuna eklenecektir. Ortaklık Beyannamesini, ilgili kurum/kuruluşları temsil etmeye </w:t>
      </w:r>
      <w:r>
        <w:rPr>
          <w:rFonts w:ascii="DINBekBold" w:hAnsi="DINBekBold" w:cs="DINBekBold"/>
          <w:b/>
          <w:bCs/>
          <w:color w:val="000000"/>
          <w:sz w:val="20"/>
          <w:szCs w:val="20"/>
          <w:lang w:bidi="ar-SA"/>
        </w:rPr>
        <w:t xml:space="preserve">yetkili 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>kişilerinin imzalaması gerekmektedir.</w:t>
      </w:r>
    </w:p>
    <w:p w:rsidR="006F57B0" w:rsidRDefault="006F57B0" w:rsidP="00C4662B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6F57B0" w:rsidRDefault="000505BC" w:rsidP="00C46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Ortaklık, </w:t>
      </w:r>
      <w:r w:rsid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 tarafından destek sağlanmakta olan projenin üstlenilmesi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</w:p>
    <w:p w:rsidR="00C4662B" w:rsidRPr="006F57B0" w:rsidRDefault="000505BC" w:rsidP="006F57B0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proofErr w:type="gramStart"/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>konusunda</w:t>
      </w:r>
      <w:proofErr w:type="gramEnd"/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iki veya daha çok kuruluşun sorumluluk paylaşımını içeren, kayda değer çapta ortak çalışma</w:t>
      </w:r>
      <w:r w:rsidR="000B69D4"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ve işbirliğidir. Projenin sorunsuz bir şekilde yürütülebilmesi açısından </w:t>
      </w:r>
      <w:r w:rsidR="006F57B0"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Ajansı, tüm</w:t>
      </w:r>
      <w:r w:rsidR="000B69D4"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>ortakların aşağıdaki hususla</w:t>
      </w:r>
      <w:r w:rsidR="00C4662B"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>rı kabul etmesini beklemektedir.</w:t>
      </w:r>
    </w:p>
    <w:p w:rsidR="00C4662B" w:rsidRDefault="00C4662B" w:rsidP="00C4662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6F57B0" w:rsidRDefault="000505BC" w:rsidP="00C46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Tüm ortaklar Başvuru Formunun </w:t>
      </w:r>
      <w:r w:rsid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Ajansına teslim edilmesinden önce formu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</w:p>
    <w:p w:rsidR="00C4662B" w:rsidRPr="006F57B0" w:rsidRDefault="000505BC" w:rsidP="006F57B0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proofErr w:type="gramStart"/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>okumuş</w:t>
      </w:r>
      <w:proofErr w:type="gramEnd"/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ve projedeki rollerini anlamış olacaklardır.</w:t>
      </w:r>
    </w:p>
    <w:p w:rsidR="00C4662B" w:rsidRPr="00C4662B" w:rsidRDefault="00C4662B" w:rsidP="00C4662B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C4662B" w:rsidRDefault="000505BC" w:rsidP="00C46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>Tüm ortaklar standart sözleşmeyi okumuş ve destek verildiği takdirde sözleşme çerçevesinde</w:t>
      </w:r>
    </w:p>
    <w:p w:rsidR="00C4662B" w:rsidRDefault="000505BC" w:rsidP="006F57B0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proofErr w:type="gramStart"/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>yükümlülüklerinin</w:t>
      </w:r>
      <w:proofErr w:type="gramEnd"/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neler olacağının bilincinde olacaklardır. Tüm ortaklar, lider ortak olan Başvuru</w:t>
      </w:r>
      <w:r w:rsidR="00C4662B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Sahibine </w:t>
      </w:r>
      <w:r w:rsid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 ile sözleşme imzalama ve projenin uygulanması ile ilgili tüm işlerde</w:t>
      </w:r>
      <w:r w:rsidR="00C4662B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 w:rsid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 karşısında kendilerini temsil etme yetkisi verirler.</w:t>
      </w:r>
    </w:p>
    <w:p w:rsidR="00C4662B" w:rsidRDefault="00C4662B" w:rsidP="00C4662B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6F57B0" w:rsidRDefault="000505BC" w:rsidP="00C46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Başvuru Sahibi ortaklarıyla düzenli olarak görüşerek onları projenin durumundan haberdar </w:t>
      </w:r>
    </w:p>
    <w:p w:rsidR="00C4662B" w:rsidRPr="006F57B0" w:rsidRDefault="000505BC" w:rsidP="006F57B0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proofErr w:type="gramStart"/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>edecektir</w:t>
      </w:r>
      <w:proofErr w:type="gramEnd"/>
      <w:r w:rsidRPr="006F57B0">
        <w:rPr>
          <w:rFonts w:ascii="DINBekNormal" w:hAnsi="DINBekNormal" w:cs="DINBekNormal"/>
          <w:color w:val="000000"/>
          <w:sz w:val="20"/>
          <w:szCs w:val="20"/>
          <w:lang w:bidi="ar-SA"/>
        </w:rPr>
        <w:t>.</w:t>
      </w:r>
    </w:p>
    <w:p w:rsidR="00C4662B" w:rsidRPr="00C4662B" w:rsidRDefault="00C4662B" w:rsidP="00C4662B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C4662B" w:rsidRDefault="00C4662B" w:rsidP="00C46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>T</w:t>
      </w:r>
      <w:r w:rsidR="000505BC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üm ortaklar, </w:t>
      </w:r>
      <w:r w:rsid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 w:rsidR="000505BC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Ajansına sunulan teknik ve mali raporların kopyalarını almalıdır.</w:t>
      </w:r>
    </w:p>
    <w:p w:rsidR="006F57B0" w:rsidRDefault="006F57B0" w:rsidP="006F57B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C4662B" w:rsidRDefault="000505BC" w:rsidP="006F57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Projeye ilişkin önemli değişiklik (örneğin faaliyetler, ortaklar) talepleri </w:t>
      </w:r>
      <w:r w:rsid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Ajansına</w:t>
      </w:r>
    </w:p>
    <w:p w:rsidR="000505BC" w:rsidRDefault="000505BC" w:rsidP="006F57B0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proofErr w:type="gramStart"/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>sunulmadan</w:t>
      </w:r>
      <w:proofErr w:type="gramEnd"/>
      <w:r w:rsidRP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önce tüm ortaklar tarafından kabul edilmiş olmalıdır. Böyle bir anlaşmaya varılamadığı</w:t>
      </w:r>
      <w:r w:rsidR="00C4662B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takdirde, Başvuru Sahibi, değişiklik taleplerini onay için </w:t>
      </w:r>
      <w:r w:rsidR="006F57B0">
        <w:rPr>
          <w:rFonts w:ascii="DINBekNormal" w:hAnsi="DINBekNormal" w:cs="DINBekNormal"/>
          <w:color w:val="000000"/>
          <w:sz w:val="20"/>
          <w:szCs w:val="20"/>
          <w:lang w:bidi="ar-SA"/>
        </w:rPr>
        <w:t>Türkiye</w:t>
      </w:r>
      <w:r w:rsidR="000B69D4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Ulusal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Ajansına sunarken bu</w:t>
      </w:r>
      <w:r w:rsidR="000B69D4">
        <w:rPr>
          <w:rFonts w:ascii="DINBekNormal" w:hAnsi="DINBekNormal" w:cs="DINBekNormal"/>
          <w:color w:val="000000"/>
          <w:sz w:val="20"/>
          <w:szCs w:val="20"/>
          <w:lang w:bidi="ar-SA"/>
        </w:rPr>
        <w:t xml:space="preserve"> </w:t>
      </w:r>
      <w:r>
        <w:rPr>
          <w:rFonts w:ascii="DINBekNormal" w:hAnsi="DINBekNormal" w:cs="DINBekNormal"/>
          <w:color w:val="000000"/>
          <w:sz w:val="20"/>
          <w:szCs w:val="20"/>
          <w:lang w:bidi="ar-SA"/>
        </w:rPr>
        <w:t>durumu bildirmekle yükümlüdür.</w:t>
      </w:r>
    </w:p>
    <w:p w:rsidR="000B69D4" w:rsidRDefault="000B69D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A54E87" w:rsidRDefault="00A54E87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A54E87" w:rsidRDefault="00A54E87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  <w:bookmarkStart w:id="0" w:name="_GoBack"/>
      <w:bookmarkEnd w:id="0"/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C4662B" w:rsidRPr="00C4662B" w:rsidTr="00C4662B">
        <w:trPr>
          <w:trHeight w:val="870"/>
        </w:trPr>
        <w:tc>
          <w:tcPr>
            <w:tcW w:w="9330" w:type="dxa"/>
          </w:tcPr>
          <w:p w:rsidR="00C4662B" w:rsidRPr="00C4662B" w:rsidRDefault="006F57B0" w:rsidP="00C466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INBekNormal" w:hAnsi="DINBekNormal" w:cs="DINBekNorm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DINBekNormal" w:hAnsi="DINBekNormal" w:cs="DINBekNormal"/>
                <w:b/>
                <w:bCs/>
                <w:color w:val="000000"/>
                <w:sz w:val="20"/>
                <w:szCs w:val="20"/>
                <w:lang w:bidi="ar-SA"/>
              </w:rPr>
              <w:t>Türkiye</w:t>
            </w:r>
            <w:r w:rsidR="00C4662B" w:rsidRPr="00C4662B">
              <w:rPr>
                <w:rFonts w:ascii="DINBekNormal" w:hAnsi="DINBekNormal" w:cs="DINBekNormal"/>
                <w:b/>
                <w:bCs/>
                <w:color w:val="000000"/>
                <w:sz w:val="20"/>
                <w:szCs w:val="20"/>
                <w:lang w:bidi="ar-SA"/>
              </w:rPr>
              <w:t xml:space="preserve"> Ulusal Ajansına sunulan teklifin içeriğini okuyarak onaylamış bulunuyorum. Yukarıda belirtilen iyi ortaklığın esaslarına uyacağımı ve gereklerini yerine getireceğimi taahhüt ederim.</w:t>
            </w:r>
          </w:p>
          <w:p w:rsidR="00C4662B" w:rsidRPr="00C4662B" w:rsidRDefault="00C4662B" w:rsidP="000B69D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DINBekNormal" w:hAnsi="DINBekNormal" w:cs="DINBekNorm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0B69D4" w:rsidRDefault="000B69D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897154" w:rsidRDefault="0089715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  <w:sectPr w:rsidR="0089715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4E87" w:rsidRDefault="00A54E87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A54E87" w:rsidRDefault="00A54E87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897154" w:rsidRDefault="0089715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0B69D4" w:rsidRDefault="000B69D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  <w:sectPr w:rsidR="000B69D4" w:rsidSect="0089715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3402"/>
      </w:tblGrid>
      <w:tr w:rsidR="00897154" w:rsidTr="00A54E87"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897154" w:rsidRPr="00A54E87" w:rsidRDefault="00897154" w:rsidP="008971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</w:p>
          <w:p w:rsidR="00897154" w:rsidRPr="00A54E87" w:rsidRDefault="00897154" w:rsidP="008971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A54E87">
              <w:rPr>
                <w:rFonts w:ascii="DINBekNormal" w:hAnsi="DINBekNormal" w:cs="DINBekNormal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PROJE ORTAĞI ADINA</w:t>
            </w:r>
          </w:p>
        </w:tc>
        <w:tc>
          <w:tcPr>
            <w:tcW w:w="5103" w:type="dxa"/>
            <w:gridSpan w:val="2"/>
            <w:tcBorders>
              <w:bottom w:val="single" w:sz="18" w:space="0" w:color="auto"/>
            </w:tcBorders>
          </w:tcPr>
          <w:p w:rsidR="00897154" w:rsidRPr="00A54E87" w:rsidRDefault="00897154" w:rsidP="008971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</w:p>
          <w:p w:rsidR="00897154" w:rsidRPr="00A54E87" w:rsidRDefault="00897154" w:rsidP="008971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  <w:r w:rsidRPr="00A54E87">
              <w:rPr>
                <w:rFonts w:ascii="DINBekNormal" w:hAnsi="DINBekNormal" w:cs="DINBekNormal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  <w:t>BAŞVURAN KURUM ADINA</w:t>
            </w:r>
          </w:p>
          <w:p w:rsidR="00A54E87" w:rsidRPr="00A54E87" w:rsidRDefault="00A54E87" w:rsidP="008971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b/>
                <w:bCs/>
                <w:color w:val="000000"/>
                <w:sz w:val="24"/>
                <w:szCs w:val="24"/>
                <w:u w:val="single"/>
                <w:lang w:bidi="ar-SA"/>
              </w:rPr>
            </w:pPr>
          </w:p>
        </w:tc>
      </w:tr>
      <w:tr w:rsidR="00897154" w:rsidTr="00A54E87"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</w:tcPr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Adı Soyadı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  <w:p w:rsidR="00A54E87" w:rsidRDefault="00A54E87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Adı Soyadı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</w:tr>
      <w:tr w:rsidR="00897154" w:rsidTr="00A54E87">
        <w:tc>
          <w:tcPr>
            <w:tcW w:w="1526" w:type="dxa"/>
            <w:tcBorders>
              <w:left w:val="single" w:sz="18" w:space="0" w:color="auto"/>
            </w:tcBorders>
          </w:tcPr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K</w:t>
            </w: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uruluş</w:t>
            </w:r>
            <w:r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br/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Kuruluş</w:t>
            </w:r>
            <w:r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br/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</w:tr>
      <w:tr w:rsidR="00897154" w:rsidTr="00A54E87">
        <w:tc>
          <w:tcPr>
            <w:tcW w:w="1526" w:type="dxa"/>
            <w:tcBorders>
              <w:left w:val="single" w:sz="18" w:space="0" w:color="auto"/>
            </w:tcBorders>
          </w:tcPr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Pozisyon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  <w:p w:rsidR="00A54E87" w:rsidRDefault="00A54E87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Pozisyon</w:t>
            </w: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</w:tr>
      <w:tr w:rsidR="00897154" w:rsidTr="00A54E87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:rsidR="00A54E87" w:rsidRDefault="00A54E87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</w:pPr>
          </w:p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İmza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A54E87" w:rsidRDefault="00A54E87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</w:pPr>
          </w:p>
          <w:p w:rsidR="00897154" w:rsidRDefault="00897154" w:rsidP="00A54E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  <w:r w:rsidRPr="000B69D4">
              <w:rPr>
                <w:rFonts w:ascii="DINBekNormal" w:hAnsi="DINBekNormal" w:cs="DINBekNormal"/>
                <w:b/>
                <w:bCs/>
                <w:color w:val="000000"/>
                <w:sz w:val="21"/>
                <w:szCs w:val="21"/>
                <w:lang w:bidi="ar-SA"/>
              </w:rPr>
              <w:t>İmza</w:t>
            </w:r>
          </w:p>
        </w:tc>
        <w:tc>
          <w:tcPr>
            <w:tcW w:w="3402" w:type="dxa"/>
            <w:tcBorders>
              <w:bottom w:val="single" w:sz="18" w:space="0" w:color="auto"/>
              <w:right w:val="single" w:sz="18" w:space="0" w:color="auto"/>
            </w:tcBorders>
          </w:tcPr>
          <w:p w:rsidR="00897154" w:rsidRDefault="00897154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  <w:p w:rsidR="00A54E87" w:rsidRDefault="00A54E87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  <w:p w:rsidR="00A54E87" w:rsidRDefault="00A54E87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  <w:p w:rsidR="00A54E87" w:rsidRDefault="00A54E87" w:rsidP="000B69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DINBekNormal" w:hAnsi="DINBekNormal" w:cs="DINBekNormal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0B69D4" w:rsidRDefault="000B69D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897154" w:rsidRDefault="0089715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897154" w:rsidRDefault="0089715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897154" w:rsidRDefault="0089715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p w:rsidR="00897154" w:rsidRDefault="00897154" w:rsidP="000B69D4">
      <w:pPr>
        <w:autoSpaceDE w:val="0"/>
        <w:autoSpaceDN w:val="0"/>
        <w:adjustRightInd w:val="0"/>
        <w:spacing w:after="0" w:line="360" w:lineRule="auto"/>
        <w:jc w:val="both"/>
        <w:rPr>
          <w:rFonts w:ascii="DINBekNormal" w:hAnsi="DINBekNormal" w:cs="DINBekNormal"/>
          <w:color w:val="000000"/>
          <w:sz w:val="20"/>
          <w:szCs w:val="20"/>
          <w:lang w:bidi="ar-SA"/>
        </w:rPr>
      </w:pPr>
    </w:p>
    <w:sectPr w:rsidR="00897154" w:rsidSect="00897154">
      <w:type w:val="continuous"/>
      <w:pgSz w:w="11906" w:h="16838"/>
      <w:pgMar w:top="1417" w:right="1417" w:bottom="1417" w:left="1417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Titillium-BoldUprigh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DINBek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INBek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310E0"/>
    <w:multiLevelType w:val="hybridMultilevel"/>
    <w:tmpl w:val="E7181242"/>
    <w:lvl w:ilvl="0" w:tplc="4ECC4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8C"/>
    <w:rsid w:val="00010FF8"/>
    <w:rsid w:val="00011552"/>
    <w:rsid w:val="000222B3"/>
    <w:rsid w:val="0002603E"/>
    <w:rsid w:val="000306D3"/>
    <w:rsid w:val="00030837"/>
    <w:rsid w:val="00035207"/>
    <w:rsid w:val="00035827"/>
    <w:rsid w:val="00041479"/>
    <w:rsid w:val="00042F91"/>
    <w:rsid w:val="000459B3"/>
    <w:rsid w:val="000505BC"/>
    <w:rsid w:val="00062BD6"/>
    <w:rsid w:val="00094737"/>
    <w:rsid w:val="000A03E5"/>
    <w:rsid w:val="000A165E"/>
    <w:rsid w:val="000B69D4"/>
    <w:rsid w:val="000C196C"/>
    <w:rsid w:val="000C1CE5"/>
    <w:rsid w:val="000D73DB"/>
    <w:rsid w:val="000F291C"/>
    <w:rsid w:val="000F32AB"/>
    <w:rsid w:val="000F74E4"/>
    <w:rsid w:val="001269F5"/>
    <w:rsid w:val="00147CAB"/>
    <w:rsid w:val="001618B6"/>
    <w:rsid w:val="00165E53"/>
    <w:rsid w:val="00173632"/>
    <w:rsid w:val="00174D51"/>
    <w:rsid w:val="0019213E"/>
    <w:rsid w:val="001947EE"/>
    <w:rsid w:val="00194EC4"/>
    <w:rsid w:val="00194F53"/>
    <w:rsid w:val="00197333"/>
    <w:rsid w:val="001B7B91"/>
    <w:rsid w:val="001C40AC"/>
    <w:rsid w:val="001C76F1"/>
    <w:rsid w:val="001D1D1E"/>
    <w:rsid w:val="001D6006"/>
    <w:rsid w:val="001D7348"/>
    <w:rsid w:val="001F2AF1"/>
    <w:rsid w:val="001F3376"/>
    <w:rsid w:val="001F5766"/>
    <w:rsid w:val="001F6965"/>
    <w:rsid w:val="002074BE"/>
    <w:rsid w:val="00210917"/>
    <w:rsid w:val="00215BED"/>
    <w:rsid w:val="0022591A"/>
    <w:rsid w:val="0022763A"/>
    <w:rsid w:val="0023027A"/>
    <w:rsid w:val="00230C27"/>
    <w:rsid w:val="00245801"/>
    <w:rsid w:val="002503FE"/>
    <w:rsid w:val="002558DF"/>
    <w:rsid w:val="00260B09"/>
    <w:rsid w:val="002838F9"/>
    <w:rsid w:val="0028622B"/>
    <w:rsid w:val="00292013"/>
    <w:rsid w:val="00295D22"/>
    <w:rsid w:val="002B1F8D"/>
    <w:rsid w:val="002B2645"/>
    <w:rsid w:val="002B5A39"/>
    <w:rsid w:val="002C14E5"/>
    <w:rsid w:val="002D1F24"/>
    <w:rsid w:val="002E4039"/>
    <w:rsid w:val="002E6656"/>
    <w:rsid w:val="002F2755"/>
    <w:rsid w:val="002F79B2"/>
    <w:rsid w:val="00300583"/>
    <w:rsid w:val="00316448"/>
    <w:rsid w:val="0032008C"/>
    <w:rsid w:val="003304AA"/>
    <w:rsid w:val="00335990"/>
    <w:rsid w:val="00353D39"/>
    <w:rsid w:val="0035599C"/>
    <w:rsid w:val="003712FA"/>
    <w:rsid w:val="00374B6F"/>
    <w:rsid w:val="003822FF"/>
    <w:rsid w:val="00395181"/>
    <w:rsid w:val="003A4869"/>
    <w:rsid w:val="003E4E2E"/>
    <w:rsid w:val="003E6E70"/>
    <w:rsid w:val="003F2920"/>
    <w:rsid w:val="004001E6"/>
    <w:rsid w:val="00401182"/>
    <w:rsid w:val="00407FEF"/>
    <w:rsid w:val="004102F1"/>
    <w:rsid w:val="00413C38"/>
    <w:rsid w:val="00414086"/>
    <w:rsid w:val="00424041"/>
    <w:rsid w:val="004348D0"/>
    <w:rsid w:val="00446073"/>
    <w:rsid w:val="00453210"/>
    <w:rsid w:val="00470BE7"/>
    <w:rsid w:val="00496A76"/>
    <w:rsid w:val="004A1448"/>
    <w:rsid w:val="004A2631"/>
    <w:rsid w:val="004B6E3A"/>
    <w:rsid w:val="004D3BD9"/>
    <w:rsid w:val="004E53D0"/>
    <w:rsid w:val="00502F25"/>
    <w:rsid w:val="005169B4"/>
    <w:rsid w:val="00530344"/>
    <w:rsid w:val="00550E7C"/>
    <w:rsid w:val="00552087"/>
    <w:rsid w:val="00576B1A"/>
    <w:rsid w:val="0058728D"/>
    <w:rsid w:val="00592EB0"/>
    <w:rsid w:val="005A1F8E"/>
    <w:rsid w:val="005B117B"/>
    <w:rsid w:val="005B241A"/>
    <w:rsid w:val="005B6E94"/>
    <w:rsid w:val="005B6EC0"/>
    <w:rsid w:val="005B768E"/>
    <w:rsid w:val="005C199F"/>
    <w:rsid w:val="005E1BB6"/>
    <w:rsid w:val="005F6A48"/>
    <w:rsid w:val="00626BA9"/>
    <w:rsid w:val="00640E7B"/>
    <w:rsid w:val="00655AB7"/>
    <w:rsid w:val="00664301"/>
    <w:rsid w:val="00666012"/>
    <w:rsid w:val="00682984"/>
    <w:rsid w:val="00682B39"/>
    <w:rsid w:val="00684B76"/>
    <w:rsid w:val="006854CB"/>
    <w:rsid w:val="0069722C"/>
    <w:rsid w:val="006A0C56"/>
    <w:rsid w:val="006B6356"/>
    <w:rsid w:val="006B7ADE"/>
    <w:rsid w:val="006C234B"/>
    <w:rsid w:val="006C3B9C"/>
    <w:rsid w:val="006D0DBD"/>
    <w:rsid w:val="006D55D7"/>
    <w:rsid w:val="006E7FEA"/>
    <w:rsid w:val="006F4626"/>
    <w:rsid w:val="006F4C9B"/>
    <w:rsid w:val="006F57B0"/>
    <w:rsid w:val="006F5FF9"/>
    <w:rsid w:val="00701C06"/>
    <w:rsid w:val="00706AA7"/>
    <w:rsid w:val="00721FB4"/>
    <w:rsid w:val="00722D79"/>
    <w:rsid w:val="007232C2"/>
    <w:rsid w:val="00723932"/>
    <w:rsid w:val="0073445B"/>
    <w:rsid w:val="00736149"/>
    <w:rsid w:val="0074394F"/>
    <w:rsid w:val="007510B4"/>
    <w:rsid w:val="00770218"/>
    <w:rsid w:val="00781A09"/>
    <w:rsid w:val="007A48A1"/>
    <w:rsid w:val="007E0097"/>
    <w:rsid w:val="007F5771"/>
    <w:rsid w:val="008119B7"/>
    <w:rsid w:val="00817989"/>
    <w:rsid w:val="008533F5"/>
    <w:rsid w:val="00854202"/>
    <w:rsid w:val="00891714"/>
    <w:rsid w:val="00897154"/>
    <w:rsid w:val="008A4C1F"/>
    <w:rsid w:val="008B3FB9"/>
    <w:rsid w:val="008C04D4"/>
    <w:rsid w:val="008E56FC"/>
    <w:rsid w:val="008E7ECC"/>
    <w:rsid w:val="008F1160"/>
    <w:rsid w:val="008F23C6"/>
    <w:rsid w:val="00911200"/>
    <w:rsid w:val="009233D3"/>
    <w:rsid w:val="0094407E"/>
    <w:rsid w:val="00944D6C"/>
    <w:rsid w:val="00955F6D"/>
    <w:rsid w:val="009644F0"/>
    <w:rsid w:val="0097035D"/>
    <w:rsid w:val="0097280D"/>
    <w:rsid w:val="00976141"/>
    <w:rsid w:val="00976419"/>
    <w:rsid w:val="009A13FF"/>
    <w:rsid w:val="009A2F92"/>
    <w:rsid w:val="009A74EC"/>
    <w:rsid w:val="009B261D"/>
    <w:rsid w:val="009C075B"/>
    <w:rsid w:val="009C111B"/>
    <w:rsid w:val="009C2CBE"/>
    <w:rsid w:val="009C6196"/>
    <w:rsid w:val="009E6CA3"/>
    <w:rsid w:val="00A103C9"/>
    <w:rsid w:val="00A108C1"/>
    <w:rsid w:val="00A32925"/>
    <w:rsid w:val="00A41C50"/>
    <w:rsid w:val="00A4364C"/>
    <w:rsid w:val="00A5252C"/>
    <w:rsid w:val="00A54E87"/>
    <w:rsid w:val="00A81F5B"/>
    <w:rsid w:val="00A9351F"/>
    <w:rsid w:val="00A94793"/>
    <w:rsid w:val="00A953F0"/>
    <w:rsid w:val="00AB202F"/>
    <w:rsid w:val="00AB3530"/>
    <w:rsid w:val="00AB46F1"/>
    <w:rsid w:val="00AB59D8"/>
    <w:rsid w:val="00AC03C5"/>
    <w:rsid w:val="00AC69AD"/>
    <w:rsid w:val="00AC6CB0"/>
    <w:rsid w:val="00AE1DC0"/>
    <w:rsid w:val="00AF1BA3"/>
    <w:rsid w:val="00B03DEB"/>
    <w:rsid w:val="00B06766"/>
    <w:rsid w:val="00B110D5"/>
    <w:rsid w:val="00B12CC6"/>
    <w:rsid w:val="00B173A0"/>
    <w:rsid w:val="00B258E8"/>
    <w:rsid w:val="00B2778F"/>
    <w:rsid w:val="00B66387"/>
    <w:rsid w:val="00B82DA5"/>
    <w:rsid w:val="00B83FA3"/>
    <w:rsid w:val="00B9213E"/>
    <w:rsid w:val="00BB27FB"/>
    <w:rsid w:val="00BB402C"/>
    <w:rsid w:val="00BE10C9"/>
    <w:rsid w:val="00C00EB5"/>
    <w:rsid w:val="00C03408"/>
    <w:rsid w:val="00C136FD"/>
    <w:rsid w:val="00C2276C"/>
    <w:rsid w:val="00C4662B"/>
    <w:rsid w:val="00C47A55"/>
    <w:rsid w:val="00C47D8C"/>
    <w:rsid w:val="00C50D94"/>
    <w:rsid w:val="00C5687B"/>
    <w:rsid w:val="00C70E51"/>
    <w:rsid w:val="00C94CE5"/>
    <w:rsid w:val="00CA068F"/>
    <w:rsid w:val="00CA1A3B"/>
    <w:rsid w:val="00CA3B93"/>
    <w:rsid w:val="00CA5F9D"/>
    <w:rsid w:val="00CD08D8"/>
    <w:rsid w:val="00CD74AA"/>
    <w:rsid w:val="00CF008F"/>
    <w:rsid w:val="00CF0541"/>
    <w:rsid w:val="00CF1514"/>
    <w:rsid w:val="00D0302B"/>
    <w:rsid w:val="00D03B87"/>
    <w:rsid w:val="00D10B5B"/>
    <w:rsid w:val="00D149A6"/>
    <w:rsid w:val="00D24760"/>
    <w:rsid w:val="00D3092F"/>
    <w:rsid w:val="00D3447B"/>
    <w:rsid w:val="00D419F0"/>
    <w:rsid w:val="00D53E3F"/>
    <w:rsid w:val="00D54813"/>
    <w:rsid w:val="00D556E0"/>
    <w:rsid w:val="00D872C9"/>
    <w:rsid w:val="00D93848"/>
    <w:rsid w:val="00DA6B9E"/>
    <w:rsid w:val="00DB0903"/>
    <w:rsid w:val="00DB51F2"/>
    <w:rsid w:val="00DC29C0"/>
    <w:rsid w:val="00DC728F"/>
    <w:rsid w:val="00DE48A7"/>
    <w:rsid w:val="00E03831"/>
    <w:rsid w:val="00E03B00"/>
    <w:rsid w:val="00E11B83"/>
    <w:rsid w:val="00E16703"/>
    <w:rsid w:val="00E23465"/>
    <w:rsid w:val="00E23E99"/>
    <w:rsid w:val="00E25B93"/>
    <w:rsid w:val="00E36CAC"/>
    <w:rsid w:val="00E67878"/>
    <w:rsid w:val="00E70063"/>
    <w:rsid w:val="00E76513"/>
    <w:rsid w:val="00E94006"/>
    <w:rsid w:val="00E9734E"/>
    <w:rsid w:val="00EC329D"/>
    <w:rsid w:val="00ED039D"/>
    <w:rsid w:val="00ED0C92"/>
    <w:rsid w:val="00ED6065"/>
    <w:rsid w:val="00EE42F4"/>
    <w:rsid w:val="00EE5B37"/>
    <w:rsid w:val="00EF041F"/>
    <w:rsid w:val="00EF55E2"/>
    <w:rsid w:val="00F42A22"/>
    <w:rsid w:val="00F6055F"/>
    <w:rsid w:val="00F62BC4"/>
    <w:rsid w:val="00F66DB0"/>
    <w:rsid w:val="00F73420"/>
    <w:rsid w:val="00F76AAD"/>
    <w:rsid w:val="00F778A3"/>
    <w:rsid w:val="00F86E01"/>
    <w:rsid w:val="00F87FA5"/>
    <w:rsid w:val="00F90B6B"/>
    <w:rsid w:val="00FB16CB"/>
    <w:rsid w:val="00FB6D57"/>
    <w:rsid w:val="00FB759D"/>
    <w:rsid w:val="00FC3F00"/>
    <w:rsid w:val="00FD4291"/>
    <w:rsid w:val="00FD6A7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Serkut Kizanlikli</dc:creator>
  <cp:keywords/>
  <dc:description/>
  <cp:lastModifiedBy>Serkut Kizanlikli</cp:lastModifiedBy>
  <cp:revision>10</cp:revision>
  <dcterms:created xsi:type="dcterms:W3CDTF">2013-12-15T14:59:00Z</dcterms:created>
  <dcterms:modified xsi:type="dcterms:W3CDTF">2013-12-30T13:58:00Z</dcterms:modified>
</cp:coreProperties>
</file>